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8C334" w14:textId="77777777" w:rsidR="00EF5CF5" w:rsidRDefault="00EF5CF5">
      <w:pPr>
        <w:spacing w:after="1200"/>
      </w:pPr>
    </w:p>
    <w:p w14:paraId="37F8C335" w14:textId="374F26E1" w:rsidR="00EF5CF5" w:rsidRDefault="006238A7">
      <w:pPr>
        <w:spacing w:after="200" w:line="276" w:lineRule="auto"/>
      </w:pPr>
      <w:r>
        <w:rPr>
          <w:b/>
          <w:bCs/>
          <w:sz w:val="24"/>
          <w:szCs w:val="24"/>
        </w:rPr>
        <w:t>RESOLUTION NO. 2026-</w:t>
      </w:r>
      <w:r w:rsidR="007F2CA3">
        <w:rPr>
          <w:b/>
          <w:bCs/>
          <w:sz w:val="24"/>
          <w:szCs w:val="24"/>
        </w:rPr>
        <w:t>13</w:t>
      </w:r>
    </w:p>
    <w:p w14:paraId="37F8C336" w14:textId="77777777" w:rsidR="00EF5CF5" w:rsidRDefault="006238A7">
      <w:pPr>
        <w:spacing w:after="240" w:line="276" w:lineRule="auto"/>
      </w:pPr>
      <w:r>
        <w:rPr>
          <w:b/>
          <w:bCs/>
          <w:sz w:val="22"/>
          <w:szCs w:val="22"/>
        </w:rPr>
        <w:t>ADOPTING A DROUGHT WATER-DELIVERY OVERAGE RATE SCHEDULE AND OVER-ALLOTMENT AND UNAUTHORIZED-USE PENALTY SCHEDULE, AND CONFIRMING SHORTAGE AND DELIVERY-DISCONTINUANCE AUTHORITY</w:t>
      </w:r>
    </w:p>
    <w:p w14:paraId="37F8C337" w14:textId="77777777" w:rsidR="00EF5CF5" w:rsidRDefault="006238A7">
      <w:pPr>
        <w:spacing w:after="160" w:line="276" w:lineRule="auto"/>
      </w:pPr>
      <w:r>
        <w:rPr>
          <w:sz w:val="22"/>
          <w:szCs w:val="22"/>
        </w:rPr>
        <w:t>The Board of Directors (“Board”) of Three Sisters Irrigation District (“District”) is charged under ORS Chapter 545 and the District’s Rules and Regulations with the just and equitable distribution of water among its water users according to their respective priority dates and water rights of record.</w:t>
      </w:r>
    </w:p>
    <w:p w14:paraId="37F8C338" w14:textId="77777777" w:rsidR="00EF5CF5" w:rsidRDefault="006238A7">
      <w:pPr>
        <w:spacing w:after="160" w:line="276" w:lineRule="auto"/>
      </w:pPr>
      <w:r>
        <w:rPr>
          <w:sz w:val="22"/>
          <w:szCs w:val="22"/>
        </w:rPr>
        <w:t>The Board finds that the District and the Deschutes Basin are experiencing drought and reduced water availability, and that water delivered to any user in excess of that user’s allotment during a shortage is water that would otherwise be available to satisfy the senior and in-allotment rights of neighboring water users.</w:t>
      </w:r>
    </w:p>
    <w:p w14:paraId="37F8C339" w14:textId="77777777" w:rsidR="00EF5CF5" w:rsidRDefault="006238A7">
      <w:pPr>
        <w:spacing w:after="160" w:line="276" w:lineRule="auto"/>
      </w:pPr>
      <w:r>
        <w:rPr>
          <w:sz w:val="22"/>
          <w:szCs w:val="22"/>
        </w:rPr>
        <w:t>The Board finds that the District employs only two field personnel and does not have the resources to continuously monitor deliveries throughout the District, and that a meaningful deterrent rate is therefore necessary to discourage over-allotment use that cannot always be detected and corrected in real time.</w:t>
      </w:r>
    </w:p>
    <w:p w14:paraId="37F8C33A" w14:textId="77777777" w:rsidR="00EF5CF5" w:rsidRDefault="006238A7">
      <w:pPr>
        <w:spacing w:after="160" w:line="276" w:lineRule="auto"/>
      </w:pPr>
      <w:r>
        <w:rPr>
          <w:sz w:val="22"/>
          <w:szCs w:val="22"/>
        </w:rPr>
        <w:t>The Board finds that Section 12 of the District’s Rules and Regulations authorizes the Board, by resolution, to fix the amounts charged per acre and per acre-foot, requires that such charges be equal for all lands within the District, and reserves to the Board the right to assess additional fees necessary to carry out the needs and programs of the District.</w:t>
      </w:r>
    </w:p>
    <w:p w14:paraId="37F8C33B" w14:textId="77777777" w:rsidR="00EF5CF5" w:rsidRDefault="006238A7">
      <w:pPr>
        <w:spacing w:after="160" w:line="276" w:lineRule="auto"/>
      </w:pPr>
      <w:r>
        <w:rPr>
          <w:sz w:val="22"/>
          <w:szCs w:val="22"/>
        </w:rPr>
        <w:t>The Board finds that Section 19 of the District’s Rules and Regulations authorizes the District to assess penalties allowed by law, including fines and refusal to deliver water, and requires that a schedule of penalties promulgated by the Board be published and posted in the District office; that Section 8 prohibits any user from adjusting headgates, checks, or measuring devices without District consent; and that ORS 540.710 to 540.990 makes willful interference with a lawfully established headgate unlawful</w:t>
      </w:r>
      <w:r>
        <w:rPr>
          <w:sz w:val="22"/>
          <w:szCs w:val="22"/>
        </w:rPr>
        <w:t>, with penalties that may include fine, imprisonment, or both.</w:t>
      </w:r>
    </w:p>
    <w:p w14:paraId="37F8C33C" w14:textId="77777777" w:rsidR="00EF5CF5" w:rsidRDefault="006238A7">
      <w:pPr>
        <w:spacing w:after="160" w:line="276" w:lineRule="auto"/>
      </w:pPr>
      <w:r>
        <w:rPr>
          <w:sz w:val="22"/>
          <w:szCs w:val="22"/>
        </w:rPr>
        <w:t>The Board finds that the District has historically charged for water delivered in excess of allotment but has not adopted or posted a current, formally-resolved schedule of overage rates and penalties, and that a graduated schedule—under which charges increase with the extent of the overage and with repeated or post-warning violations—is a reasonable and equitable means of recovering the District’s costs, protecting senior and in-allotment users, and deterring willful over-allotment use during shortage.</w:t>
      </w:r>
    </w:p>
    <w:p w14:paraId="37F8C33D" w14:textId="77777777" w:rsidR="00EF5CF5" w:rsidRDefault="006238A7">
      <w:pPr>
        <w:spacing w:after="160" w:line="276" w:lineRule="auto"/>
      </w:pPr>
      <w:r>
        <w:rPr>
          <w:sz w:val="22"/>
          <w:szCs w:val="22"/>
        </w:rPr>
        <w:t>The Board further finds that affected users will be provided notice and an opportunity to respond before any penalty discontinuance of delivery, in accordance with the District’s Rules and Regulations and applicable law.</w:t>
      </w:r>
    </w:p>
    <w:p w14:paraId="37F8C33E" w14:textId="77777777" w:rsidR="00EF5CF5" w:rsidRDefault="006238A7">
      <w:pPr>
        <w:spacing w:before="200" w:after="160" w:line="276" w:lineRule="auto"/>
      </w:pPr>
      <w:r>
        <w:rPr>
          <w:b/>
          <w:bCs/>
          <w:sz w:val="22"/>
          <w:szCs w:val="22"/>
        </w:rPr>
        <w:t>NOW, THEREFORE, BE IT RESOLVED:</w:t>
      </w:r>
    </w:p>
    <w:p w14:paraId="37F8C33F" w14:textId="77777777" w:rsidR="00EF5CF5" w:rsidRDefault="006238A7">
      <w:pPr>
        <w:spacing w:before="200" w:after="120" w:line="276" w:lineRule="auto"/>
      </w:pPr>
      <w:r>
        <w:rPr>
          <w:b/>
          <w:bCs/>
          <w:sz w:val="22"/>
          <w:szCs w:val="22"/>
        </w:rPr>
        <w:lastRenderedPageBreak/>
        <w:t>Drought Overage Rate Schedule</w:t>
      </w:r>
    </w:p>
    <w:p w14:paraId="37F8C340" w14:textId="77777777" w:rsidR="00EF5CF5" w:rsidRDefault="006238A7">
      <w:pPr>
        <w:spacing w:after="160" w:line="276" w:lineRule="auto"/>
      </w:pPr>
      <w:r>
        <w:rPr>
          <w:sz w:val="22"/>
          <w:szCs w:val="22"/>
        </w:rPr>
        <w:t>Water delivered to any tract of land in excess of</w:t>
      </w:r>
      <w:r>
        <w:rPr>
          <w:sz w:val="22"/>
          <w:szCs w:val="22"/>
        </w:rPr>
        <w:t xml:space="preserve"> the applicable allotment shall be billed on the final invoice for the year, as “Additional Acre Feet Delivered,” at the following graduated rates. These rates apply equally to all lands within the District and are in addition to the District’s regular per-acre and per-acre-foot water-delivery charges.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50"/>
        <w:gridCol w:w="4650"/>
        <w:gridCol w:w="3060"/>
      </w:tblGrid>
      <w:tr w:rsidR="00EF5CF5" w14:paraId="37F8C344" w14:textId="77777777">
        <w:trPr>
          <w:tblHeader/>
        </w:trPr>
        <w:tc>
          <w:tcPr>
            <w:tcW w:w="1650" w:type="dxa"/>
            <w:shd w:val="clear" w:color="auto" w:fill="D9E2F3"/>
            <w:tcMar>
              <w:top w:w="60" w:type="dxa"/>
              <w:left w:w="100" w:type="dxa"/>
              <w:bottom w:w="60" w:type="dxa"/>
              <w:right w:w="100" w:type="dxa"/>
            </w:tcMar>
          </w:tcPr>
          <w:p w14:paraId="37F8C341" w14:textId="77777777" w:rsidR="00EF5CF5" w:rsidRDefault="006238A7">
            <w:pPr>
              <w:spacing w:line="264" w:lineRule="auto"/>
              <w:jc w:val="center"/>
            </w:pPr>
            <w:r>
              <w:rPr>
                <w:b/>
                <w:bCs/>
              </w:rPr>
              <w:t>Tier</w:t>
            </w:r>
          </w:p>
        </w:tc>
        <w:tc>
          <w:tcPr>
            <w:tcW w:w="4650" w:type="dxa"/>
            <w:shd w:val="clear" w:color="auto" w:fill="D9E2F3"/>
            <w:tcMar>
              <w:top w:w="60" w:type="dxa"/>
              <w:left w:w="100" w:type="dxa"/>
              <w:bottom w:w="60" w:type="dxa"/>
              <w:right w:w="100" w:type="dxa"/>
            </w:tcMar>
          </w:tcPr>
          <w:p w14:paraId="37F8C342" w14:textId="77777777" w:rsidR="00EF5CF5" w:rsidRDefault="006238A7">
            <w:pPr>
              <w:spacing w:line="264" w:lineRule="auto"/>
            </w:pPr>
            <w:r>
              <w:rPr>
                <w:b/>
                <w:bCs/>
              </w:rPr>
              <w:t>Applies to</w:t>
            </w:r>
          </w:p>
        </w:tc>
        <w:tc>
          <w:tcPr>
            <w:tcW w:w="3060" w:type="dxa"/>
            <w:shd w:val="clear" w:color="auto" w:fill="D9E2F3"/>
            <w:tcMar>
              <w:top w:w="60" w:type="dxa"/>
              <w:left w:w="100" w:type="dxa"/>
              <w:bottom w:w="60" w:type="dxa"/>
              <w:right w:w="100" w:type="dxa"/>
            </w:tcMar>
          </w:tcPr>
          <w:p w14:paraId="37F8C343" w14:textId="77777777" w:rsidR="00EF5CF5" w:rsidRDefault="006238A7">
            <w:pPr>
              <w:spacing w:line="264" w:lineRule="auto"/>
              <w:jc w:val="center"/>
            </w:pPr>
            <w:r>
              <w:rPr>
                <w:b/>
                <w:bCs/>
              </w:rPr>
              <w:t>Rate per acre-foot</w:t>
            </w:r>
          </w:p>
        </w:tc>
      </w:tr>
      <w:tr w:rsidR="00EF5CF5" w14:paraId="37F8C348" w14:textId="77777777">
        <w:tc>
          <w:tcPr>
            <w:tcW w:w="1650" w:type="dxa"/>
            <w:tcMar>
              <w:top w:w="60" w:type="dxa"/>
              <w:left w:w="100" w:type="dxa"/>
              <w:bottom w:w="60" w:type="dxa"/>
              <w:right w:w="100" w:type="dxa"/>
            </w:tcMar>
          </w:tcPr>
          <w:p w14:paraId="37F8C345" w14:textId="77777777" w:rsidR="00EF5CF5" w:rsidRDefault="006238A7">
            <w:pPr>
              <w:spacing w:line="264" w:lineRule="auto"/>
              <w:jc w:val="center"/>
            </w:pPr>
            <w:r>
              <w:rPr>
                <w:b/>
                <w:bCs/>
              </w:rPr>
              <w:t>I</w:t>
            </w:r>
          </w:p>
        </w:tc>
        <w:tc>
          <w:tcPr>
            <w:tcW w:w="4650" w:type="dxa"/>
            <w:tcMar>
              <w:top w:w="60" w:type="dxa"/>
              <w:left w:w="100" w:type="dxa"/>
              <w:bottom w:w="60" w:type="dxa"/>
              <w:right w:w="100" w:type="dxa"/>
            </w:tcMar>
          </w:tcPr>
          <w:p w14:paraId="37F8C346" w14:textId="77777777" w:rsidR="00EF5CF5" w:rsidRDefault="006238A7">
            <w:pPr>
              <w:spacing w:line="264" w:lineRule="auto"/>
            </w:pPr>
            <w:r>
              <w:t>Water delivered above allotment, up to 100% of allotment (the first increment of overage).</w:t>
            </w:r>
          </w:p>
        </w:tc>
        <w:tc>
          <w:tcPr>
            <w:tcW w:w="3060" w:type="dxa"/>
            <w:tcMar>
              <w:top w:w="60" w:type="dxa"/>
              <w:left w:w="100" w:type="dxa"/>
              <w:bottom w:w="60" w:type="dxa"/>
              <w:right w:w="100" w:type="dxa"/>
            </w:tcMar>
          </w:tcPr>
          <w:p w14:paraId="37F8C347" w14:textId="77777777" w:rsidR="00EF5CF5" w:rsidRDefault="006238A7">
            <w:pPr>
              <w:spacing w:line="264" w:lineRule="auto"/>
              <w:jc w:val="center"/>
            </w:pPr>
            <w:r>
              <w:t>$80.00 / AF</w:t>
            </w:r>
          </w:p>
        </w:tc>
      </w:tr>
      <w:tr w:rsidR="00EF5CF5" w14:paraId="37F8C34C" w14:textId="77777777">
        <w:tc>
          <w:tcPr>
            <w:tcW w:w="1650" w:type="dxa"/>
            <w:shd w:val="clear" w:color="auto" w:fill="F2F2F2"/>
            <w:tcMar>
              <w:top w:w="60" w:type="dxa"/>
              <w:left w:w="100" w:type="dxa"/>
              <w:bottom w:w="60" w:type="dxa"/>
              <w:right w:w="100" w:type="dxa"/>
            </w:tcMar>
          </w:tcPr>
          <w:p w14:paraId="37F8C349" w14:textId="77777777" w:rsidR="00EF5CF5" w:rsidRDefault="006238A7">
            <w:pPr>
              <w:spacing w:line="264" w:lineRule="auto"/>
              <w:jc w:val="center"/>
            </w:pPr>
            <w:r>
              <w:rPr>
                <w:b/>
                <w:bCs/>
              </w:rPr>
              <w:t>II</w:t>
            </w:r>
          </w:p>
        </w:tc>
        <w:tc>
          <w:tcPr>
            <w:tcW w:w="4650" w:type="dxa"/>
            <w:shd w:val="clear" w:color="auto" w:fill="F2F2F2"/>
            <w:tcMar>
              <w:top w:w="60" w:type="dxa"/>
              <w:left w:w="100" w:type="dxa"/>
              <w:bottom w:w="60" w:type="dxa"/>
              <w:right w:w="100" w:type="dxa"/>
            </w:tcMar>
          </w:tcPr>
          <w:p w14:paraId="37F8C34A" w14:textId="77777777" w:rsidR="00EF5CF5" w:rsidRDefault="006238A7">
            <w:pPr>
              <w:spacing w:line="264" w:lineRule="auto"/>
            </w:pPr>
            <w:r>
              <w:t xml:space="preserve">Water delivered in excess of 100% of allotment (use </w:t>
            </w:r>
            <w:r>
              <w:t>exceeding twice the allotment).</w:t>
            </w:r>
          </w:p>
        </w:tc>
        <w:tc>
          <w:tcPr>
            <w:tcW w:w="3060" w:type="dxa"/>
            <w:shd w:val="clear" w:color="auto" w:fill="F2F2F2"/>
            <w:tcMar>
              <w:top w:w="60" w:type="dxa"/>
              <w:left w:w="100" w:type="dxa"/>
              <w:bottom w:w="60" w:type="dxa"/>
              <w:right w:w="100" w:type="dxa"/>
            </w:tcMar>
          </w:tcPr>
          <w:p w14:paraId="37F8C34B" w14:textId="77777777" w:rsidR="00EF5CF5" w:rsidRDefault="006238A7">
            <w:pPr>
              <w:spacing w:line="264" w:lineRule="auto"/>
              <w:jc w:val="center"/>
            </w:pPr>
            <w:r>
              <w:t>$120.00 / AF</w:t>
            </w:r>
          </w:p>
        </w:tc>
      </w:tr>
      <w:tr w:rsidR="00EF5CF5" w14:paraId="37F8C351" w14:textId="77777777">
        <w:tc>
          <w:tcPr>
            <w:tcW w:w="1650" w:type="dxa"/>
            <w:tcMar>
              <w:top w:w="60" w:type="dxa"/>
              <w:left w:w="100" w:type="dxa"/>
              <w:bottom w:w="60" w:type="dxa"/>
              <w:right w:w="100" w:type="dxa"/>
            </w:tcMar>
          </w:tcPr>
          <w:p w14:paraId="37F8C34D" w14:textId="77777777" w:rsidR="00EF5CF5" w:rsidRDefault="006238A7">
            <w:pPr>
              <w:spacing w:line="264" w:lineRule="auto"/>
              <w:jc w:val="center"/>
            </w:pPr>
            <w:r>
              <w:rPr>
                <w:b/>
                <w:bCs/>
              </w:rPr>
              <w:t>III</w:t>
            </w:r>
          </w:p>
        </w:tc>
        <w:tc>
          <w:tcPr>
            <w:tcW w:w="4650" w:type="dxa"/>
            <w:tcMar>
              <w:top w:w="60" w:type="dxa"/>
              <w:left w:w="100" w:type="dxa"/>
              <w:bottom w:w="60" w:type="dxa"/>
              <w:right w:w="100" w:type="dxa"/>
            </w:tcMar>
          </w:tcPr>
          <w:p w14:paraId="37F8C34E" w14:textId="77777777" w:rsidR="00EF5CF5" w:rsidRDefault="006238A7">
            <w:pPr>
              <w:spacing w:line="264" w:lineRule="auto"/>
            </w:pPr>
            <w:r>
              <w:t>Any over-allotment delivery occurring after the user has received a written warning or notice to reduce or discontinue use, and any over-allotment delivery by a user penalized for over-allotment use in a prior irrigation season (repeat violation).</w:t>
            </w:r>
          </w:p>
        </w:tc>
        <w:tc>
          <w:tcPr>
            <w:tcW w:w="3060" w:type="dxa"/>
            <w:tcMar>
              <w:top w:w="60" w:type="dxa"/>
              <w:left w:w="100" w:type="dxa"/>
              <w:bottom w:w="60" w:type="dxa"/>
              <w:right w:w="100" w:type="dxa"/>
            </w:tcMar>
          </w:tcPr>
          <w:p w14:paraId="37F8C34F" w14:textId="6EBB01EA" w:rsidR="00EF5CF5" w:rsidRPr="00FE32D9" w:rsidRDefault="006238A7">
            <w:pPr>
              <w:spacing w:line="264" w:lineRule="auto"/>
              <w:jc w:val="center"/>
            </w:pPr>
            <w:r w:rsidRPr="00FE32D9">
              <w:t>$</w:t>
            </w:r>
            <w:r w:rsidR="00FE32D9" w:rsidRPr="00FE32D9">
              <w:t>250</w:t>
            </w:r>
            <w:r w:rsidRPr="00FE32D9">
              <w:t xml:space="preserve"> / AF</w:t>
            </w:r>
          </w:p>
          <w:p w14:paraId="37F8C350" w14:textId="17456D2A" w:rsidR="00EF5CF5" w:rsidRDefault="00EF5CF5">
            <w:pPr>
              <w:spacing w:line="264" w:lineRule="auto"/>
              <w:jc w:val="center"/>
            </w:pPr>
          </w:p>
        </w:tc>
      </w:tr>
    </w:tbl>
    <w:p w14:paraId="37F8C352" w14:textId="77777777" w:rsidR="00EF5CF5" w:rsidRDefault="00EF5CF5">
      <w:pPr>
        <w:spacing w:after="60"/>
      </w:pPr>
    </w:p>
    <w:p w14:paraId="37F8C353" w14:textId="77777777" w:rsidR="00EF5CF5" w:rsidRDefault="006238A7">
      <w:pPr>
        <w:spacing w:after="120" w:line="276" w:lineRule="auto"/>
      </w:pPr>
      <w:r>
        <w:rPr>
          <w:sz w:val="22"/>
          <w:szCs w:val="22"/>
        </w:rPr>
        <w:t>The Board may, by subsequent resolution prior to any irrigation season, adjust the foregoing rates.</w:t>
      </w:r>
    </w:p>
    <w:p w14:paraId="37F8C354" w14:textId="77777777" w:rsidR="00EF5CF5" w:rsidRDefault="006238A7">
      <w:pPr>
        <w:spacing w:before="200" w:after="120" w:line="276" w:lineRule="auto"/>
      </w:pPr>
      <w:r>
        <w:rPr>
          <w:b/>
          <w:bCs/>
          <w:sz w:val="22"/>
          <w:szCs w:val="22"/>
        </w:rPr>
        <w:t>Over-Allotment and Unauthorized-Use Penalty Schedule</w:t>
      </w:r>
    </w:p>
    <w:p w14:paraId="37F8C355" w14:textId="77777777" w:rsidR="00EF5CF5" w:rsidRDefault="006238A7">
      <w:pPr>
        <w:spacing w:after="160" w:line="276" w:lineRule="auto"/>
      </w:pPr>
      <w:r>
        <w:rPr>
          <w:sz w:val="22"/>
          <w:szCs w:val="22"/>
        </w:rPr>
        <w:t>Pursuant to Section 19 of the District’s Rules and Regulations, the following penalties are adopted and shall be published and posted in the District office. These penalties are in addition to the overage charges above and to any remedies available under Oregon law, including ORS 540.710 to 540.990:</w:t>
      </w:r>
    </w:p>
    <w:p w14:paraId="37F8C356" w14:textId="77777777" w:rsidR="00EF5CF5" w:rsidRDefault="006238A7">
      <w:pPr>
        <w:spacing w:after="120" w:line="276" w:lineRule="auto"/>
        <w:ind w:left="360" w:hanging="360"/>
      </w:pPr>
      <w:r>
        <w:rPr>
          <w:b/>
          <w:bCs/>
          <w:sz w:val="22"/>
          <w:szCs w:val="22"/>
        </w:rPr>
        <w:t>1.</w:t>
      </w:r>
      <w:r>
        <w:rPr>
          <w:b/>
          <w:bCs/>
          <w:sz w:val="22"/>
          <w:szCs w:val="22"/>
        </w:rPr>
        <w:tab/>
      </w:r>
      <w:r>
        <w:rPr>
          <w:sz w:val="22"/>
          <w:szCs w:val="22"/>
        </w:rPr>
        <w:t>Exceeding allotment during a shortage or rotation — the applicable overage rate above and, for continued use after warning, the Tier III rate together with discontinuance of delivery as provided below.</w:t>
      </w:r>
    </w:p>
    <w:p w14:paraId="37F8C357" w14:textId="77777777" w:rsidR="00EF5CF5" w:rsidRDefault="006238A7">
      <w:pPr>
        <w:spacing w:after="120" w:line="276" w:lineRule="auto"/>
        <w:ind w:left="360" w:hanging="360"/>
      </w:pPr>
      <w:r>
        <w:rPr>
          <w:b/>
          <w:bCs/>
          <w:sz w:val="22"/>
          <w:szCs w:val="22"/>
        </w:rPr>
        <w:t>2.</w:t>
      </w:r>
      <w:r>
        <w:rPr>
          <w:b/>
          <w:bCs/>
          <w:sz w:val="22"/>
          <w:szCs w:val="22"/>
        </w:rPr>
        <w:tab/>
      </w:r>
      <w:r>
        <w:rPr>
          <w:sz w:val="22"/>
          <w:szCs w:val="22"/>
        </w:rPr>
        <w:t>Unauthorized adjustment of headgates, checks, or measuring devices, or taking water not then allocated to the user (Rules and Regulations Section 8) — a fine of $______ per occurrence [recommend $250–$500], discontinuance of delivery as provided below, and referral to the Watermaster and/or law enforcement where willful interference with a headgate is involved.</w:t>
      </w:r>
    </w:p>
    <w:p w14:paraId="37F8C358" w14:textId="77777777" w:rsidR="00EF5CF5" w:rsidRDefault="006238A7">
      <w:pPr>
        <w:spacing w:after="120" w:line="276" w:lineRule="auto"/>
        <w:ind w:left="360" w:hanging="360"/>
      </w:pPr>
      <w:r>
        <w:rPr>
          <w:b/>
          <w:bCs/>
          <w:sz w:val="22"/>
          <w:szCs w:val="22"/>
        </w:rPr>
        <w:t>3.</w:t>
      </w:r>
      <w:r>
        <w:rPr>
          <w:b/>
          <w:bCs/>
          <w:sz w:val="22"/>
          <w:szCs w:val="22"/>
        </w:rPr>
        <w:tab/>
      </w:r>
      <w:r>
        <w:rPr>
          <w:sz w:val="22"/>
          <w:szCs w:val="22"/>
        </w:rPr>
        <w:t>Repeat violations — escalation to the Tier III rate and/or the maximum per-occurrence fine, and discontinuance of delivery until compliance is restored.</w:t>
      </w:r>
    </w:p>
    <w:p w14:paraId="37F8C359" w14:textId="77777777" w:rsidR="00EF5CF5" w:rsidRDefault="006238A7">
      <w:pPr>
        <w:spacing w:before="200" w:after="120" w:line="276" w:lineRule="auto"/>
      </w:pPr>
      <w:r>
        <w:rPr>
          <w:b/>
          <w:bCs/>
          <w:sz w:val="22"/>
          <w:szCs w:val="22"/>
        </w:rPr>
        <w:t>Discontinuance of Delivery</w:t>
      </w:r>
    </w:p>
    <w:p w14:paraId="37F8C35A" w14:textId="77777777" w:rsidR="00EF5CF5" w:rsidRDefault="006238A7">
      <w:pPr>
        <w:spacing w:after="160" w:line="276" w:lineRule="auto"/>
      </w:pPr>
      <w:r>
        <w:rPr>
          <w:sz w:val="22"/>
          <w:szCs w:val="22"/>
        </w:rPr>
        <w:t>Immediate operational adjustment. Consistent with Section 5 of the Rules and Regulations, District employees may, upon at least twelve (12) hours’ notice to the user—or immediately in the event of an emergency, with notice to the affected user as soon as possible thereafter—reduce or discontinue an over-allotment delivery then in effect in order to protect the water rights of other users.</w:t>
      </w:r>
    </w:p>
    <w:p w14:paraId="37F8C35B" w14:textId="77777777" w:rsidR="00EF5CF5" w:rsidRDefault="006238A7">
      <w:pPr>
        <w:spacing w:after="160" w:line="276" w:lineRule="auto"/>
      </w:pPr>
      <w:r>
        <w:rPr>
          <w:sz w:val="22"/>
          <w:szCs w:val="22"/>
        </w:rPr>
        <w:t xml:space="preserve">Penalty discontinuance; notice and opportunity to respond. Any discontinuance of delivery imposed as a penalty under Section 19 of the Rules and Regulations shall be imposed by the District Manager only upon a finding that a violation has occurred (whether willful or not), only after the user has been given written notice of the violation, and only after the user has been afforded an opportunity to respond. </w:t>
      </w:r>
      <w:r>
        <w:rPr>
          <w:sz w:val="22"/>
          <w:szCs w:val="22"/>
        </w:rPr>
        <w:lastRenderedPageBreak/>
        <w:t>Affected users shall have fourteen (14) days from the date of notice to return to compliance or make acceptable arrangements with the District. The user may appeal to the Board of Directors by written statement delivered not later than ten (10) days after written notice of the proposed penalty, and the Board shall render a final decision within forty-five (45) days, as provided in Section 19 of the Rules and Regulations.</w:t>
      </w:r>
    </w:p>
    <w:p w14:paraId="37F8C35C" w14:textId="77777777" w:rsidR="00EF5CF5" w:rsidRDefault="006238A7">
      <w:pPr>
        <w:spacing w:after="160" w:line="276" w:lineRule="auto"/>
      </w:pPr>
      <w:r>
        <w:rPr>
          <w:sz w:val="22"/>
          <w:szCs w:val="22"/>
        </w:rPr>
        <w:t>Duration; conditional restoration. A discontinuance of delivery imposed under this Resolution shall remain in effect until the user has returned to within the user’s allotment and is otherwise in compliance with the District’s Rules and Regulations and this Resolution, and any overage charges and penalties then due have been paid or acceptable payment arrangements approved by the District have been made. Delivery shall be restored promptly upon the Manager’s determination that these conditions are satisfied</w:t>
      </w:r>
      <w:r>
        <w:rPr>
          <w:sz w:val="22"/>
          <w:szCs w:val="22"/>
        </w:rPr>
        <w:t>. A discontinuance under this Resolution is corrective and conditional and is not imposed for a fixed punitive term.</w:t>
      </w:r>
    </w:p>
    <w:p w14:paraId="37F8C35D" w14:textId="77777777" w:rsidR="00EF5CF5" w:rsidRDefault="006238A7">
      <w:pPr>
        <w:spacing w:before="200" w:after="120" w:line="276" w:lineRule="auto"/>
      </w:pPr>
      <w:r>
        <w:rPr>
          <w:b/>
          <w:bCs/>
          <w:sz w:val="22"/>
          <w:szCs w:val="22"/>
        </w:rPr>
        <w:t>Confirmation of Shortage and Rotation Authority</w:t>
      </w:r>
    </w:p>
    <w:p w14:paraId="37F8C35E" w14:textId="77777777" w:rsidR="00EF5CF5" w:rsidRDefault="006238A7">
      <w:pPr>
        <w:spacing w:after="160" w:line="276" w:lineRule="auto"/>
      </w:pPr>
      <w:r>
        <w:rPr>
          <w:sz w:val="22"/>
          <w:szCs w:val="22"/>
        </w:rPr>
        <w:t xml:space="preserve">The Board confirms and reaffirms the authority of the District Manager under Section 5 of the Rules and Regulations to institute rotation and regulate deliveries during any shortage so that water is distributed according to priority date and each user receives only that user’s just and equitable proportion of available water. During a shortage, delivery of water in excess of allotment is not guaranteed and may be reduced, rotated, or discontinued regardless of a user’s willingness to pay overage charges, </w:t>
      </w:r>
      <w:r>
        <w:rPr>
          <w:sz w:val="22"/>
          <w:szCs w:val="22"/>
        </w:rPr>
        <w:t>in order to satisfy senior and in-allotment rights.</w:t>
      </w:r>
    </w:p>
    <w:p w14:paraId="37F8C35F" w14:textId="77777777" w:rsidR="00EF5CF5" w:rsidRDefault="006238A7">
      <w:pPr>
        <w:spacing w:before="200" w:after="120" w:line="276" w:lineRule="auto"/>
      </w:pPr>
      <w:r>
        <w:rPr>
          <w:b/>
          <w:bCs/>
          <w:sz w:val="22"/>
          <w:szCs w:val="22"/>
        </w:rPr>
        <w:t>Posting</w:t>
      </w:r>
    </w:p>
    <w:p w14:paraId="37F8C360" w14:textId="77777777" w:rsidR="00EF5CF5" w:rsidRDefault="006238A7">
      <w:pPr>
        <w:spacing w:after="160" w:line="276" w:lineRule="auto"/>
      </w:pPr>
      <w:r>
        <w:rPr>
          <w:sz w:val="22"/>
          <w:szCs w:val="22"/>
        </w:rPr>
        <w:t>The rate schedule and penalty schedule adopted by this Resolution shall be published and posted in the District office as required by Sections 12 and 19 of the Rules and Regulations.</w:t>
      </w:r>
    </w:p>
    <w:p w14:paraId="37F8C361" w14:textId="77777777" w:rsidR="00EF5CF5" w:rsidRDefault="006238A7">
      <w:pPr>
        <w:spacing w:before="200" w:after="120" w:line="276" w:lineRule="auto"/>
      </w:pPr>
      <w:r>
        <w:rPr>
          <w:b/>
          <w:bCs/>
          <w:sz w:val="22"/>
          <w:szCs w:val="22"/>
        </w:rPr>
        <w:t>Effective Date</w:t>
      </w:r>
    </w:p>
    <w:p w14:paraId="37F8C362" w14:textId="77777777" w:rsidR="00EF5CF5" w:rsidRDefault="006238A7">
      <w:pPr>
        <w:spacing w:after="160" w:line="276" w:lineRule="auto"/>
      </w:pPr>
      <w:r>
        <w:rPr>
          <w:sz w:val="22"/>
          <w:szCs w:val="22"/>
        </w:rPr>
        <w:t>This Resolution is effective upon adoption.</w:t>
      </w:r>
    </w:p>
    <w:p w14:paraId="37F8C363" w14:textId="77777777" w:rsidR="00EF5CF5" w:rsidRDefault="006238A7">
      <w:pPr>
        <w:spacing w:before="320" w:after="200" w:line="276" w:lineRule="auto"/>
      </w:pPr>
      <w:r>
        <w:rPr>
          <w:sz w:val="22"/>
          <w:szCs w:val="22"/>
        </w:rPr>
        <w:t>ADOPTED this ____ day of __________, 2026.</w:t>
      </w:r>
    </w:p>
    <w:p w14:paraId="37F8C364" w14:textId="77777777" w:rsidR="00EF5CF5" w:rsidRDefault="006238A7">
      <w:r>
        <w:rPr>
          <w:b/>
          <w:bCs/>
          <w:sz w:val="22"/>
          <w:szCs w:val="22"/>
        </w:rPr>
        <w:t>BOARD OF DIRECTORS</w:t>
      </w:r>
    </w:p>
    <w:p w14:paraId="37F8C365" w14:textId="77777777" w:rsidR="00EF5CF5" w:rsidRDefault="006238A7">
      <w:pPr>
        <w:spacing w:after="120"/>
      </w:pPr>
      <w:r>
        <w:rPr>
          <w:sz w:val="22"/>
          <w:szCs w:val="22"/>
        </w:rPr>
        <w:t>Three Sisters Irrigation District</w:t>
      </w:r>
    </w:p>
    <w:p w14:paraId="37F8C366" w14:textId="77777777" w:rsidR="00EF5CF5" w:rsidRDefault="006238A7">
      <w:pPr>
        <w:spacing w:before="260"/>
      </w:pPr>
      <w:r>
        <w:rPr>
          <w:sz w:val="22"/>
          <w:szCs w:val="22"/>
        </w:rPr>
        <w:t>________________________________________</w:t>
      </w:r>
    </w:p>
    <w:p w14:paraId="37F8C367" w14:textId="77777777" w:rsidR="00EF5CF5" w:rsidRDefault="006238A7">
      <w:r>
        <w:rPr>
          <w:sz w:val="22"/>
          <w:szCs w:val="22"/>
        </w:rPr>
        <w:t>Joe Elwing – President</w:t>
      </w:r>
    </w:p>
    <w:p w14:paraId="37F8C368" w14:textId="77777777" w:rsidR="00EF5CF5" w:rsidRDefault="006238A7">
      <w:pPr>
        <w:spacing w:before="260"/>
      </w:pPr>
      <w:r>
        <w:rPr>
          <w:sz w:val="22"/>
          <w:szCs w:val="22"/>
        </w:rPr>
        <w:t>________________________________________</w:t>
      </w:r>
    </w:p>
    <w:p w14:paraId="37F8C369" w14:textId="77777777" w:rsidR="00EF5CF5" w:rsidRDefault="006238A7">
      <w:r>
        <w:rPr>
          <w:sz w:val="22"/>
          <w:szCs w:val="22"/>
        </w:rPr>
        <w:t>Marc Thalacker – Vice President</w:t>
      </w:r>
    </w:p>
    <w:p w14:paraId="37F8C36A" w14:textId="77777777" w:rsidR="00EF5CF5" w:rsidRDefault="006238A7">
      <w:pPr>
        <w:spacing w:before="260"/>
      </w:pPr>
      <w:r>
        <w:rPr>
          <w:sz w:val="22"/>
          <w:szCs w:val="22"/>
        </w:rPr>
        <w:t>________________________________________</w:t>
      </w:r>
    </w:p>
    <w:p w14:paraId="37F8C36B" w14:textId="77777777" w:rsidR="00EF5CF5" w:rsidRDefault="006238A7">
      <w:r>
        <w:rPr>
          <w:sz w:val="22"/>
          <w:szCs w:val="22"/>
        </w:rPr>
        <w:t>Mark Koos – Secretary/Treasurer</w:t>
      </w:r>
    </w:p>
    <w:sectPr w:rsidR="00EF5CF5">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641803"/>
    <w:multiLevelType w:val="hybridMultilevel"/>
    <w:tmpl w:val="6E82060C"/>
    <w:lvl w:ilvl="0" w:tplc="6688ECCA">
      <w:start w:val="1"/>
      <w:numFmt w:val="bullet"/>
      <w:lvlText w:val="●"/>
      <w:lvlJc w:val="left"/>
      <w:pPr>
        <w:ind w:left="720" w:hanging="360"/>
      </w:pPr>
    </w:lvl>
    <w:lvl w:ilvl="1" w:tplc="AC247E86">
      <w:start w:val="1"/>
      <w:numFmt w:val="bullet"/>
      <w:lvlText w:val="○"/>
      <w:lvlJc w:val="left"/>
      <w:pPr>
        <w:ind w:left="1440" w:hanging="360"/>
      </w:pPr>
    </w:lvl>
    <w:lvl w:ilvl="2" w:tplc="6EDA265C">
      <w:start w:val="1"/>
      <w:numFmt w:val="bullet"/>
      <w:lvlText w:val="■"/>
      <w:lvlJc w:val="left"/>
      <w:pPr>
        <w:ind w:left="2160" w:hanging="360"/>
      </w:pPr>
    </w:lvl>
    <w:lvl w:ilvl="3" w:tplc="07084074">
      <w:start w:val="1"/>
      <w:numFmt w:val="bullet"/>
      <w:lvlText w:val="●"/>
      <w:lvlJc w:val="left"/>
      <w:pPr>
        <w:ind w:left="2880" w:hanging="360"/>
      </w:pPr>
    </w:lvl>
    <w:lvl w:ilvl="4" w:tplc="3592B04C">
      <w:start w:val="1"/>
      <w:numFmt w:val="bullet"/>
      <w:lvlText w:val="○"/>
      <w:lvlJc w:val="left"/>
      <w:pPr>
        <w:ind w:left="3600" w:hanging="360"/>
      </w:pPr>
    </w:lvl>
    <w:lvl w:ilvl="5" w:tplc="D78C9732">
      <w:start w:val="1"/>
      <w:numFmt w:val="bullet"/>
      <w:lvlText w:val="■"/>
      <w:lvlJc w:val="left"/>
      <w:pPr>
        <w:ind w:left="4320" w:hanging="360"/>
      </w:pPr>
    </w:lvl>
    <w:lvl w:ilvl="6" w:tplc="C5469618">
      <w:start w:val="1"/>
      <w:numFmt w:val="bullet"/>
      <w:lvlText w:val="●"/>
      <w:lvlJc w:val="left"/>
      <w:pPr>
        <w:ind w:left="5040" w:hanging="360"/>
      </w:pPr>
    </w:lvl>
    <w:lvl w:ilvl="7" w:tplc="BDC6C8D8">
      <w:start w:val="1"/>
      <w:numFmt w:val="bullet"/>
      <w:lvlText w:val="●"/>
      <w:lvlJc w:val="left"/>
      <w:pPr>
        <w:ind w:left="5760" w:hanging="360"/>
      </w:pPr>
    </w:lvl>
    <w:lvl w:ilvl="8" w:tplc="8BBE5E98">
      <w:start w:val="1"/>
      <w:numFmt w:val="bullet"/>
      <w:lvlText w:val="●"/>
      <w:lvlJc w:val="left"/>
      <w:pPr>
        <w:ind w:left="6480" w:hanging="360"/>
      </w:pPr>
    </w:lvl>
  </w:abstractNum>
  <w:num w:numId="1" w16cid:durableId="133950335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CF5"/>
    <w:rsid w:val="004B0919"/>
    <w:rsid w:val="007F2CA3"/>
    <w:rsid w:val="00D019B4"/>
    <w:rsid w:val="00EF5CF5"/>
    <w:rsid w:val="00FE3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8C334"/>
  <w15:docId w15:val="{7EDA7C89-F3E4-4E4E-B83F-EDDCCD917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1202</Words>
  <Characters>6745</Characters>
  <Application>Microsoft Office Word</Application>
  <DocSecurity>0</DocSecurity>
  <Lines>115</Lines>
  <Paragraphs>49</Paragraphs>
  <ScaleCrop>false</ScaleCrop>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Emilia Ellington</cp:lastModifiedBy>
  <cp:revision>3</cp:revision>
  <dcterms:created xsi:type="dcterms:W3CDTF">2026-07-27T16:13:00Z</dcterms:created>
  <dcterms:modified xsi:type="dcterms:W3CDTF">2026-08-04T21:59:00Z</dcterms:modified>
</cp:coreProperties>
</file>